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B0D36" w:rsidRPr="00E70653" w:rsidRDefault="00A82EB4" w:rsidP="00A76DB3">
      <w:pPr>
        <w:pStyle w:val="Ref"/>
      </w:pPr>
      <w:r w:rsidRPr="00E7065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B5D69" wp14:editId="3FCB45F5">
                <wp:simplePos x="0" y="0"/>
                <wp:positionH relativeFrom="column">
                  <wp:posOffset>3284689</wp:posOffset>
                </wp:positionH>
                <wp:positionV relativeFrom="paragraph">
                  <wp:posOffset>238639</wp:posOffset>
                </wp:positionV>
                <wp:extent cx="2820979" cy="552552"/>
                <wp:effectExtent l="0" t="0" r="1778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979" cy="5525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EB4" w:rsidRPr="00A82EB4" w:rsidRDefault="00A82EB4" w:rsidP="009C4F45">
                            <w:pPr>
                              <w:jc w:val="center"/>
                            </w:pPr>
                            <w:r w:rsidRPr="00A82EB4">
                              <w:t>The following resources are associated:</w:t>
                            </w:r>
                          </w:p>
                          <w:p w:rsidR="00A82EB4" w:rsidRDefault="009C4F45" w:rsidP="009C4F45">
                            <w:pPr>
                              <w:jc w:val="center"/>
                            </w:pPr>
                            <w:r w:rsidRPr="009C4F45">
                              <w:t>Checking normality for parametric tests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B5D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65pt;margin-top:18.8pt;width:222.1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" filled="f" strokecolor="#d8d8d8 [2732]" strokeweight="2pt">
                <v:textbox>
                  <w:txbxContent>
                    <w:p w:rsidR="00A82EB4" w:rsidRPr="00A82EB4" w:rsidRDefault="00A82EB4" w:rsidP="009C4F45">
                      <w:pPr>
                        <w:jc w:val="center"/>
                      </w:pPr>
                      <w:r w:rsidRPr="00A82EB4">
                        <w:t>The following resources are associated:</w:t>
                      </w:r>
                    </w:p>
                    <w:p w:rsidR="00A82EB4" w:rsidRDefault="009C4F45" w:rsidP="009C4F45">
                      <w:pPr>
                        <w:jc w:val="center"/>
                      </w:pPr>
                      <w:r w:rsidRPr="009C4F45">
                        <w:t>Checking normality for parametric tests</w:t>
                      </w:r>
                    </w:p>
                  </w:txbxContent>
                </v:textbox>
              </v:shape>
            </w:pict>
          </mc:Fallback>
        </mc:AlternateContent>
      </w:r>
      <w:r w:rsidR="009C4F45" w:rsidRPr="009C4F45">
        <w:t xml:space="preserve"> </w:t>
      </w:r>
      <w:r w:rsidR="009C4F45">
        <w:t>stcp-gilchristsamuels-</w:t>
      </w:r>
      <w:r w:rsidR="009C4F45" w:rsidRPr="009C4F45">
        <w:t>7</w:t>
      </w:r>
    </w:p>
    <w:p w:rsidR="00A82EB4" w:rsidRPr="001A5027" w:rsidRDefault="00A82EB4" w:rsidP="00A76DB3"/>
    <w:p w:rsidR="00A82EB4" w:rsidRDefault="00A82EB4" w:rsidP="00DB6271">
      <w:pPr>
        <w:spacing w:after="0"/>
      </w:pPr>
    </w:p>
    <w:p w:rsidR="00E70653" w:rsidRDefault="00E70653" w:rsidP="00DB6271">
      <w:pPr>
        <w:spacing w:after="0"/>
      </w:pPr>
    </w:p>
    <w:p w:rsidR="009C4F45" w:rsidRPr="00DB6271" w:rsidRDefault="009C4F45" w:rsidP="009C4F45">
      <w:pPr>
        <w:pStyle w:val="Title2"/>
      </w:pPr>
      <w:r w:rsidRPr="00DD55EB">
        <w:t xml:space="preserve">Paired Samples </w:t>
      </w:r>
      <w:r>
        <w:t>t-test</w:t>
      </w:r>
    </w:p>
    <w:p w:rsidR="009C4F45" w:rsidRPr="009C4F45" w:rsidRDefault="009C4F45" w:rsidP="009C4F45">
      <w:pPr>
        <w:pStyle w:val="Heading20"/>
        <w:rPr>
          <w:b w:val="0"/>
        </w:rPr>
      </w:pPr>
      <w:r w:rsidRPr="00DD55EB">
        <w:rPr>
          <w:sz w:val="28"/>
          <w:szCs w:val="28"/>
        </w:rPr>
        <w:t>Research question type:</w:t>
      </w:r>
      <w:r w:rsidRPr="00DD55EB">
        <w:t xml:space="preserve"> </w:t>
      </w:r>
      <w:r w:rsidRPr="009C4F45">
        <w:rPr>
          <w:b w:val="0"/>
        </w:rPr>
        <w:t>Difference between (comparison of) two related (paired, repeated or matched) variables</w:t>
      </w:r>
    </w:p>
    <w:p w:rsidR="009C4F45" w:rsidRPr="009C4F45" w:rsidRDefault="009C4F45" w:rsidP="009C4F45">
      <w:pPr>
        <w:pStyle w:val="Heading20"/>
        <w:rPr>
          <w:b w:val="0"/>
        </w:rPr>
      </w:pPr>
      <w:r w:rsidRPr="00DD55EB">
        <w:rPr>
          <w:sz w:val="28"/>
          <w:szCs w:val="28"/>
        </w:rPr>
        <w:t>What kind of variables:</w:t>
      </w:r>
      <w:r w:rsidRPr="00DD55EB">
        <w:t xml:space="preserve"> </w:t>
      </w:r>
      <w:r w:rsidRPr="009C4F45">
        <w:rPr>
          <w:b w:val="0"/>
        </w:rPr>
        <w:t>Continuous (scale/interval/ratio)</w:t>
      </w:r>
    </w:p>
    <w:p w:rsidR="009C4F45" w:rsidRPr="009C4F45" w:rsidRDefault="009C4F45" w:rsidP="009C4F45">
      <w:pPr>
        <w:pStyle w:val="Heading20"/>
        <w:rPr>
          <w:b w:val="0"/>
        </w:rPr>
      </w:pPr>
      <w:r w:rsidRPr="00DD55EB">
        <w:rPr>
          <w:sz w:val="28"/>
          <w:szCs w:val="28"/>
        </w:rPr>
        <w:t>Common Applications:</w:t>
      </w:r>
      <w:r w:rsidRPr="00DD55EB">
        <w:t xml:space="preserve"> </w:t>
      </w:r>
      <w:r w:rsidRPr="009C4F45">
        <w:rPr>
          <w:b w:val="0"/>
        </w:rPr>
        <w:t>Comparing the means of data from two related samples</w:t>
      </w:r>
    </w:p>
    <w:p w:rsidR="009C4F45" w:rsidRPr="00DD55EB" w:rsidRDefault="009C4F45" w:rsidP="009C4F45">
      <w:pPr>
        <w:pStyle w:val="Heading1"/>
      </w:pPr>
      <w:r>
        <w:t>Example</w:t>
      </w:r>
      <w:r w:rsidRPr="00DD55EB">
        <w:t>:</w:t>
      </w:r>
      <w:r>
        <w:t xml:space="preserve"> Teaching Intervention</w:t>
      </w:r>
    </w:p>
    <w:p w:rsidR="009C4F45" w:rsidRPr="00DD55EB" w:rsidRDefault="009C4F45" w:rsidP="009C4F45">
      <w:r w:rsidRPr="00DD55EB">
        <w:rPr>
          <w:b/>
        </w:rPr>
        <w:t>Research question:</w:t>
      </w:r>
      <w:r w:rsidRPr="00DD55EB">
        <w:t xml:space="preserve"> Is there a </w:t>
      </w:r>
      <w:r w:rsidRPr="00DD55EB">
        <w:rPr>
          <w:b/>
        </w:rPr>
        <w:t>difference</w:t>
      </w:r>
      <w:r w:rsidRPr="00DD55EB">
        <w:t xml:space="preserve"> in marks following a teaching intervention?</w:t>
      </w:r>
    </w:p>
    <w:p w:rsidR="009C4F45" w:rsidRPr="00DD55EB" w:rsidRDefault="009C4F45" w:rsidP="00DB6271">
      <w:r w:rsidRPr="00DD55EB">
        <w:t xml:space="preserve">The marks for a group of students before (pre) and after (post) a teaching </w:t>
      </w:r>
      <w:r>
        <w:t>i</w:t>
      </w:r>
      <w:r w:rsidR="00DB6271">
        <w:t>ntervention are recorded below.</w:t>
      </w:r>
    </w:p>
    <w:tbl>
      <w:tblPr>
        <w:tblpPr w:leftFromText="180" w:rightFromText="180" w:vertAnchor="text" w:tblpX="93" w:tblpY="1"/>
        <w:tblOverlap w:val="never"/>
        <w:tblW w:w="5778" w:type="dxa"/>
        <w:tblLook w:val="04A0" w:firstRow="1" w:lastRow="0" w:firstColumn="1" w:lastColumn="0" w:noHBand="0" w:noVBand="1"/>
      </w:tblPr>
      <w:tblGrid>
        <w:gridCol w:w="975"/>
        <w:gridCol w:w="1537"/>
        <w:gridCol w:w="1353"/>
        <w:gridCol w:w="1219"/>
        <w:gridCol w:w="694"/>
      </w:tblGrid>
      <w:tr w:rsidR="002C5DE6" w:rsidRPr="00DB6271" w:rsidTr="002C5DE6">
        <w:trPr>
          <w:trHeight w:val="255"/>
        </w:trPr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b/>
                <w:color w:val="000000"/>
                <w:sz w:val="20"/>
                <w:szCs w:val="22"/>
              </w:rPr>
            </w:pPr>
            <w:r w:rsidRPr="00DB6271">
              <w:rPr>
                <w:b/>
                <w:color w:val="000000"/>
                <w:sz w:val="20"/>
                <w:szCs w:val="22"/>
              </w:rPr>
              <w:t>Student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b/>
                <w:color w:val="000000"/>
                <w:sz w:val="20"/>
                <w:szCs w:val="22"/>
              </w:rPr>
            </w:pPr>
            <w:r w:rsidRPr="00DB6271">
              <w:rPr>
                <w:b/>
                <w:color w:val="000000"/>
                <w:sz w:val="20"/>
                <w:szCs w:val="22"/>
              </w:rPr>
              <w:t>Before mark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b/>
                <w:color w:val="000000"/>
                <w:sz w:val="20"/>
                <w:szCs w:val="22"/>
              </w:rPr>
            </w:pPr>
            <w:r w:rsidRPr="00DB6271">
              <w:rPr>
                <w:b/>
                <w:color w:val="000000"/>
                <w:sz w:val="20"/>
                <w:szCs w:val="22"/>
              </w:rPr>
              <w:t>After mark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5DE6" w:rsidRPr="00DB6271" w:rsidRDefault="002C5DE6" w:rsidP="00DB6271">
            <w:pPr>
              <w:spacing w:after="0"/>
              <w:jc w:val="center"/>
              <w:rPr>
                <w:b/>
                <w:color w:val="000000"/>
                <w:sz w:val="20"/>
                <w:szCs w:val="22"/>
              </w:rPr>
            </w:pPr>
            <w:r w:rsidRPr="00DB6271">
              <w:rPr>
                <w:b/>
                <w:color w:val="000000"/>
                <w:sz w:val="20"/>
                <w:szCs w:val="22"/>
              </w:rPr>
              <w:t>Difference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2C5DE6" w:rsidRPr="00DB6271" w:rsidRDefault="002C5DE6" w:rsidP="00DB6271">
            <w:pPr>
              <w:spacing w:after="0"/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</w:tr>
      <w:tr w:rsidR="002C5DE6" w:rsidRPr="009C4F45" w:rsidTr="002C5DE6">
        <w:trPr>
          <w:trHeight w:val="255"/>
        </w:trPr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22</w:t>
            </w:r>
          </w:p>
        </w:tc>
        <w:tc>
          <w:tcPr>
            <w:tcW w:w="1219" w:type="dxa"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 xml:space="preserve"> 4</w:t>
            </w:r>
          </w:p>
        </w:tc>
        <w:tc>
          <w:tcPr>
            <w:tcW w:w="694" w:type="dxa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2C5DE6" w:rsidRPr="009C4F45" w:rsidTr="002C5DE6">
        <w:trPr>
          <w:trHeight w:val="25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25</w:t>
            </w:r>
          </w:p>
        </w:tc>
        <w:tc>
          <w:tcPr>
            <w:tcW w:w="1219" w:type="dxa"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 xml:space="preserve"> 4</w:t>
            </w:r>
          </w:p>
        </w:tc>
        <w:tc>
          <w:tcPr>
            <w:tcW w:w="694" w:type="dxa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2C5DE6" w:rsidRPr="009C4F45" w:rsidTr="002C5DE6">
        <w:trPr>
          <w:trHeight w:val="25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17</w:t>
            </w:r>
          </w:p>
        </w:tc>
        <w:tc>
          <w:tcPr>
            <w:tcW w:w="1219" w:type="dxa"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 xml:space="preserve"> 1</w:t>
            </w:r>
          </w:p>
        </w:tc>
        <w:tc>
          <w:tcPr>
            <w:tcW w:w="694" w:type="dxa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2C5DE6" w:rsidRPr="009C4F45" w:rsidTr="002C5DE6">
        <w:trPr>
          <w:trHeight w:val="25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22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24</w:t>
            </w:r>
          </w:p>
        </w:tc>
        <w:tc>
          <w:tcPr>
            <w:tcW w:w="1219" w:type="dxa"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 xml:space="preserve"> 2</w:t>
            </w:r>
          </w:p>
        </w:tc>
        <w:tc>
          <w:tcPr>
            <w:tcW w:w="694" w:type="dxa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2C5DE6" w:rsidRPr="009C4F45" w:rsidTr="002C5DE6">
        <w:trPr>
          <w:trHeight w:val="25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1219" w:type="dxa"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-3</w:t>
            </w:r>
          </w:p>
        </w:tc>
        <w:tc>
          <w:tcPr>
            <w:tcW w:w="694" w:type="dxa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2C5DE6" w:rsidRPr="009C4F45" w:rsidTr="002C5DE6">
        <w:trPr>
          <w:trHeight w:val="25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29</w:t>
            </w:r>
          </w:p>
        </w:tc>
        <w:tc>
          <w:tcPr>
            <w:tcW w:w="1219" w:type="dxa"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 xml:space="preserve"> 5</w:t>
            </w:r>
          </w:p>
        </w:tc>
        <w:tc>
          <w:tcPr>
            <w:tcW w:w="694" w:type="dxa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2C5DE6" w:rsidRPr="009C4F45" w:rsidTr="002C5DE6">
        <w:trPr>
          <w:trHeight w:val="25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20</w:t>
            </w:r>
          </w:p>
        </w:tc>
        <w:tc>
          <w:tcPr>
            <w:tcW w:w="1219" w:type="dxa"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 xml:space="preserve"> 3</w:t>
            </w:r>
          </w:p>
        </w:tc>
        <w:tc>
          <w:tcPr>
            <w:tcW w:w="694" w:type="dxa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2C5DE6" w:rsidRPr="009C4F45" w:rsidTr="002C5DE6">
        <w:trPr>
          <w:trHeight w:val="25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23</w:t>
            </w:r>
          </w:p>
        </w:tc>
        <w:tc>
          <w:tcPr>
            <w:tcW w:w="1219" w:type="dxa"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 xml:space="preserve"> 2</w:t>
            </w:r>
          </w:p>
        </w:tc>
        <w:tc>
          <w:tcPr>
            <w:tcW w:w="694" w:type="dxa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2C5DE6" w:rsidRPr="009C4F45" w:rsidTr="002C5DE6">
        <w:trPr>
          <w:trHeight w:val="25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23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1219" w:type="dxa"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-4</w:t>
            </w:r>
          </w:p>
        </w:tc>
        <w:tc>
          <w:tcPr>
            <w:tcW w:w="694" w:type="dxa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2C5DE6" w:rsidRPr="009C4F45" w:rsidTr="002C5DE6">
        <w:trPr>
          <w:trHeight w:val="25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20</w:t>
            </w:r>
          </w:p>
        </w:tc>
        <w:tc>
          <w:tcPr>
            <w:tcW w:w="1219" w:type="dxa"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 xml:space="preserve"> 2</w:t>
            </w:r>
          </w:p>
        </w:tc>
        <w:tc>
          <w:tcPr>
            <w:tcW w:w="694" w:type="dxa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2C5DE6" w:rsidRPr="009C4F45" w:rsidTr="002C5DE6">
        <w:trPr>
          <w:trHeight w:val="25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219" w:type="dxa"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 xml:space="preserve"> 1</w:t>
            </w:r>
          </w:p>
        </w:tc>
        <w:tc>
          <w:tcPr>
            <w:tcW w:w="694" w:type="dxa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2C5DE6" w:rsidRPr="009C4F45" w:rsidTr="002C5DE6">
        <w:trPr>
          <w:trHeight w:val="25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219" w:type="dxa"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-1</w:t>
            </w:r>
          </w:p>
        </w:tc>
        <w:tc>
          <w:tcPr>
            <w:tcW w:w="694" w:type="dxa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2C5DE6" w:rsidRPr="009C4F45" w:rsidTr="002C5DE6">
        <w:trPr>
          <w:trHeight w:val="25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18</w:t>
            </w:r>
          </w:p>
        </w:tc>
        <w:tc>
          <w:tcPr>
            <w:tcW w:w="1219" w:type="dxa"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 xml:space="preserve"> 2</w:t>
            </w:r>
          </w:p>
        </w:tc>
        <w:tc>
          <w:tcPr>
            <w:tcW w:w="694" w:type="dxa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2C5DE6" w:rsidRPr="009C4F45" w:rsidTr="002C5DE6">
        <w:trPr>
          <w:trHeight w:val="25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26</w:t>
            </w:r>
          </w:p>
        </w:tc>
        <w:tc>
          <w:tcPr>
            <w:tcW w:w="1219" w:type="dxa"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 xml:space="preserve"> 7</w:t>
            </w:r>
          </w:p>
        </w:tc>
        <w:tc>
          <w:tcPr>
            <w:tcW w:w="694" w:type="dxa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2C5DE6" w:rsidRPr="009C4F45" w:rsidTr="002C5DE6">
        <w:trPr>
          <w:trHeight w:val="25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18</w:t>
            </w:r>
          </w:p>
        </w:tc>
        <w:tc>
          <w:tcPr>
            <w:tcW w:w="1219" w:type="dxa"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 xml:space="preserve"> 0</w:t>
            </w:r>
          </w:p>
        </w:tc>
        <w:tc>
          <w:tcPr>
            <w:tcW w:w="694" w:type="dxa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2C5DE6" w:rsidRPr="009C4F45" w:rsidTr="002C5DE6">
        <w:trPr>
          <w:trHeight w:val="25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24</w:t>
            </w:r>
          </w:p>
        </w:tc>
        <w:tc>
          <w:tcPr>
            <w:tcW w:w="1219" w:type="dxa"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 xml:space="preserve"> 4</w:t>
            </w:r>
          </w:p>
        </w:tc>
        <w:tc>
          <w:tcPr>
            <w:tcW w:w="694" w:type="dxa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2C5DE6" w:rsidRPr="009C4F45" w:rsidTr="002C5DE6">
        <w:trPr>
          <w:trHeight w:val="25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18</w:t>
            </w:r>
          </w:p>
        </w:tc>
        <w:tc>
          <w:tcPr>
            <w:tcW w:w="1219" w:type="dxa"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 xml:space="preserve"> 6</w:t>
            </w:r>
          </w:p>
        </w:tc>
        <w:tc>
          <w:tcPr>
            <w:tcW w:w="694" w:type="dxa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2C5DE6" w:rsidRPr="009C4F45" w:rsidTr="002C5DE6">
        <w:trPr>
          <w:trHeight w:val="25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E6" w:rsidRPr="00DB6271" w:rsidRDefault="002C5DE6" w:rsidP="00DB6271">
            <w:pPr>
              <w:spacing w:before="30" w:after="3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22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25</w:t>
            </w:r>
          </w:p>
        </w:tc>
        <w:tc>
          <w:tcPr>
            <w:tcW w:w="1219" w:type="dxa"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 xml:space="preserve"> 3</w:t>
            </w:r>
          </w:p>
        </w:tc>
        <w:tc>
          <w:tcPr>
            <w:tcW w:w="694" w:type="dxa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2C5DE6" w:rsidRPr="009C4F45" w:rsidTr="002C5DE6">
        <w:trPr>
          <w:trHeight w:val="25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1219" w:type="dxa"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 xml:space="preserve"> 4</w:t>
            </w:r>
          </w:p>
        </w:tc>
        <w:tc>
          <w:tcPr>
            <w:tcW w:w="694" w:type="dxa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2C5DE6" w:rsidRPr="009C4F45" w:rsidTr="002C5DE6">
        <w:trPr>
          <w:trHeight w:val="25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1219" w:type="dxa"/>
            <w:vAlign w:val="bottom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  <w:r w:rsidRPr="00DB6271">
              <w:rPr>
                <w:color w:val="000000"/>
                <w:sz w:val="20"/>
                <w:szCs w:val="22"/>
              </w:rPr>
              <w:t>-1</w:t>
            </w:r>
          </w:p>
        </w:tc>
        <w:tc>
          <w:tcPr>
            <w:tcW w:w="694" w:type="dxa"/>
          </w:tcPr>
          <w:p w:rsidR="002C5DE6" w:rsidRPr="00DB6271" w:rsidRDefault="002C5DE6" w:rsidP="00DB6271">
            <w:pPr>
              <w:spacing w:after="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2C5DE6" w:rsidRPr="00DB6271" w:rsidTr="002C5DE6">
        <w:trPr>
          <w:trHeight w:val="255"/>
        </w:trPr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before="60" w:after="0"/>
              <w:jc w:val="center"/>
              <w:rPr>
                <w:color w:val="000000"/>
                <w:sz w:val="20"/>
                <w:szCs w:val="20"/>
              </w:rPr>
            </w:pPr>
            <w:r w:rsidRPr="00DB6271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before="60" w:after="0"/>
              <w:jc w:val="center"/>
              <w:rPr>
                <w:color w:val="000000"/>
                <w:sz w:val="20"/>
                <w:szCs w:val="20"/>
              </w:rPr>
            </w:pPr>
            <w:r w:rsidRPr="00DB6271">
              <w:rPr>
                <w:color w:val="000000"/>
                <w:sz w:val="20"/>
                <w:szCs w:val="20"/>
              </w:rPr>
              <w:t>18.40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before="60" w:after="0"/>
              <w:jc w:val="center"/>
              <w:rPr>
                <w:color w:val="000000"/>
                <w:sz w:val="20"/>
                <w:szCs w:val="20"/>
              </w:rPr>
            </w:pPr>
            <w:r w:rsidRPr="00DB6271">
              <w:rPr>
                <w:color w:val="000000"/>
                <w:sz w:val="20"/>
                <w:szCs w:val="20"/>
              </w:rPr>
              <w:t>20.45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DE6" w:rsidRPr="00DB6271" w:rsidRDefault="002C5DE6" w:rsidP="00DB6271">
            <w:pPr>
              <w:spacing w:before="60" w:after="0"/>
              <w:jc w:val="center"/>
              <w:rPr>
                <w:color w:val="000000"/>
                <w:sz w:val="20"/>
                <w:szCs w:val="20"/>
              </w:rPr>
            </w:pPr>
            <w:r w:rsidRPr="00DB6271">
              <w:rPr>
                <w:color w:val="000000"/>
                <w:sz w:val="20"/>
                <w:szCs w:val="20"/>
              </w:rPr>
              <w:t>2.05</w:t>
            </w: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</w:tcPr>
          <w:p w:rsidR="002C5DE6" w:rsidRPr="00DB6271" w:rsidRDefault="002C5DE6" w:rsidP="00DB6271">
            <w:pPr>
              <w:spacing w:before="6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B6271" w:rsidRDefault="00DB6271" w:rsidP="00DB6271">
      <w:r w:rsidRPr="00DD55EB">
        <w:t xml:space="preserve">Marks are </w:t>
      </w:r>
      <w:r w:rsidRPr="00DD55EB">
        <w:rPr>
          <w:b/>
        </w:rPr>
        <w:t>continuous (scale) data</w:t>
      </w:r>
      <w:r w:rsidRPr="00DD55EB">
        <w:t xml:space="preserve">.  Continuous data are often summarised by giving their </w:t>
      </w:r>
      <w:r>
        <w:t>mean and standard deviation</w:t>
      </w:r>
      <w:r w:rsidRPr="00DD55EB">
        <w:t xml:space="preserve">, and the </w:t>
      </w:r>
      <w:r w:rsidRPr="00DD55EB">
        <w:rPr>
          <w:b/>
        </w:rPr>
        <w:t>paired t-test</w:t>
      </w:r>
      <w:r w:rsidRPr="00DD55EB">
        <w:t xml:space="preserve"> is used to compare the means of the two samples of related data.</w:t>
      </w:r>
    </w:p>
    <w:p w:rsidR="009C4F45" w:rsidRPr="00DD55EB" w:rsidRDefault="009C4F45" w:rsidP="00DB6271">
      <w:pPr>
        <w:spacing w:before="120"/>
      </w:pPr>
      <w:r w:rsidRPr="00DD55EB">
        <w:t xml:space="preserve">The paired t-test compares the </w:t>
      </w:r>
      <w:r>
        <w:t>mean difference of the values with</w:t>
      </w:r>
      <w:r w:rsidRPr="00DD55EB">
        <w:t xml:space="preserve"> zero.  It depend</w:t>
      </w:r>
      <w:r>
        <w:t>s upon the mean difference, the standard deviation</w:t>
      </w:r>
      <w:r w:rsidRPr="00DD55EB">
        <w:t xml:space="preserve"> of the diffe</w:t>
      </w:r>
      <w:r>
        <w:t xml:space="preserve">rences and the number of cases.  </w:t>
      </w:r>
      <w:r w:rsidRPr="00DD55EB">
        <w:t>Various as</w:t>
      </w:r>
      <w:r>
        <w:t>sumptions also need to be made</w:t>
      </w:r>
      <w:r w:rsidRPr="00DD55EB">
        <w:t>.</w:t>
      </w:r>
    </w:p>
    <w:p w:rsidR="002C5DE6" w:rsidRDefault="002C5DE6" w:rsidP="009C4F45">
      <w:pPr>
        <w:spacing w:before="120"/>
        <w:rPr>
          <w:b/>
        </w:rPr>
      </w:pPr>
    </w:p>
    <w:p w:rsidR="002C5DE6" w:rsidRDefault="002C5DE6" w:rsidP="009C4F45">
      <w:pPr>
        <w:spacing w:before="120"/>
        <w:rPr>
          <w:b/>
        </w:rPr>
      </w:pPr>
    </w:p>
    <w:p w:rsidR="002C5DE6" w:rsidRDefault="002C5DE6" w:rsidP="009C4F45">
      <w:pPr>
        <w:spacing w:before="120"/>
        <w:rPr>
          <w:b/>
        </w:rPr>
      </w:pPr>
    </w:p>
    <w:p w:rsidR="002C5DE6" w:rsidRDefault="002C5DE6" w:rsidP="009C4F45">
      <w:pPr>
        <w:spacing w:before="120"/>
        <w:rPr>
          <w:b/>
        </w:rPr>
      </w:pPr>
    </w:p>
    <w:p w:rsidR="009C4F45" w:rsidRPr="00DD55EB" w:rsidRDefault="009C4F45" w:rsidP="002C5DE6">
      <w:pPr>
        <w:pStyle w:val="Heading20"/>
      </w:pPr>
      <w:r w:rsidRPr="00DD55EB">
        <w:lastRenderedPageBreak/>
        <w:t>Hypotheses:</w:t>
      </w:r>
    </w:p>
    <w:p w:rsidR="009C4F45" w:rsidRPr="00DD55EB" w:rsidRDefault="009C4F45" w:rsidP="009C4F45">
      <w:r>
        <w:t>The null hypothesis is</w:t>
      </w:r>
      <w:r w:rsidRPr="00DD55EB">
        <w:t>:</w:t>
      </w:r>
    </w:p>
    <w:p w:rsidR="009C4F45" w:rsidRPr="00DD55EB" w:rsidRDefault="009C4F45" w:rsidP="009C4F45">
      <w:pPr>
        <w:spacing w:before="120"/>
        <w:ind w:left="993" w:hanging="426"/>
      </w:pPr>
      <w:r w:rsidRPr="00DD55EB">
        <w:t>H</w:t>
      </w:r>
      <w:r w:rsidRPr="00DD55EB">
        <w:rPr>
          <w:vertAlign w:val="subscript"/>
        </w:rPr>
        <w:t>0</w:t>
      </w:r>
      <w:r w:rsidRPr="00DD55EB">
        <w:t>: There is no d</w:t>
      </w:r>
      <w:r>
        <w:t xml:space="preserve">ifference in mean </w:t>
      </w:r>
      <w:r w:rsidRPr="00D96794">
        <w:rPr>
          <w:i/>
        </w:rPr>
        <w:t>Pre</w:t>
      </w:r>
      <w:r>
        <w:t xml:space="preserve"> and </w:t>
      </w:r>
      <w:r w:rsidRPr="00D96794">
        <w:rPr>
          <w:i/>
        </w:rPr>
        <w:t>Post</w:t>
      </w:r>
      <w:r>
        <w:t xml:space="preserve"> </w:t>
      </w:r>
      <w:r w:rsidRPr="00DD55EB">
        <w:t>marks</w:t>
      </w:r>
    </w:p>
    <w:p w:rsidR="009C4F45" w:rsidRPr="00DD55EB" w:rsidRDefault="009C4F45" w:rsidP="009C4F45">
      <w:r>
        <w:t>And the</w:t>
      </w:r>
      <w:r w:rsidRPr="00DD55EB">
        <w:t xml:space="preserve"> </w:t>
      </w:r>
      <w:r>
        <w:t>alternative hypothesis is</w:t>
      </w:r>
      <w:r w:rsidRPr="00DD55EB">
        <w:t>:</w:t>
      </w:r>
    </w:p>
    <w:p w:rsidR="009C4F45" w:rsidRPr="00DD55EB" w:rsidRDefault="009C4F45" w:rsidP="009C4F45">
      <w:pPr>
        <w:ind w:left="567"/>
      </w:pPr>
      <w:r w:rsidRPr="00DD55EB">
        <w:t>H</w:t>
      </w:r>
      <w:r w:rsidRPr="00DD55EB">
        <w:rPr>
          <w:vertAlign w:val="subscript"/>
        </w:rPr>
        <w:t>1</w:t>
      </w:r>
      <w:r w:rsidRPr="00DD55EB">
        <w:t>: There is a d</w:t>
      </w:r>
      <w:r>
        <w:t xml:space="preserve">ifference in mean </w:t>
      </w:r>
      <w:r w:rsidRPr="00D96794">
        <w:rPr>
          <w:i/>
        </w:rPr>
        <w:t>Pre</w:t>
      </w:r>
      <w:r>
        <w:t xml:space="preserve"> and </w:t>
      </w:r>
      <w:r w:rsidRPr="00D96794">
        <w:rPr>
          <w:i/>
        </w:rPr>
        <w:t>Post</w:t>
      </w:r>
      <w:r>
        <w:t xml:space="preserve"> </w:t>
      </w:r>
      <w:r w:rsidRPr="00DD55EB">
        <w:t>marks</w:t>
      </w:r>
    </w:p>
    <w:p w:rsidR="009C4F45" w:rsidRPr="00DD55EB" w:rsidRDefault="00A23FB3" w:rsidP="002C5DE6">
      <w:pPr>
        <w:pStyle w:val="Heading1"/>
      </w:pPr>
      <w:r w:rsidRPr="00AD1C89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9D723EE" wp14:editId="5D8A4B55">
            <wp:simplePos x="0" y="0"/>
            <wp:positionH relativeFrom="column">
              <wp:posOffset>3721735</wp:posOffset>
            </wp:positionH>
            <wp:positionV relativeFrom="paragraph">
              <wp:posOffset>102235</wp:posOffset>
            </wp:positionV>
            <wp:extent cx="2558415" cy="2605405"/>
            <wp:effectExtent l="19050" t="19050" r="13335" b="2349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76"/>
                    <a:stretch/>
                  </pic:blipFill>
                  <pic:spPr bwMode="auto">
                    <a:xfrm>
                      <a:off x="0" y="0"/>
                      <a:ext cx="2558415" cy="26054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F45" w:rsidRPr="00DD55EB">
        <w:t>Steps in SPSS</w:t>
      </w:r>
    </w:p>
    <w:p w:rsidR="00A23FB3" w:rsidRDefault="00A23FB3" w:rsidP="00A23FB3">
      <w:pPr>
        <w:pStyle w:val="Heading20"/>
      </w:pPr>
      <w:r>
        <w:t>Enter the data</w:t>
      </w:r>
    </w:p>
    <w:p w:rsidR="009C4F45" w:rsidRDefault="009C4F45" w:rsidP="009C4F45">
      <w:r w:rsidRPr="00DD55EB">
        <w:t>The data</w:t>
      </w:r>
      <w:r>
        <w:t xml:space="preserve"> needs to be entered in SPSS in two</w:t>
      </w:r>
      <w:r w:rsidRPr="00DD55EB">
        <w:t xml:space="preserve"> columns, where one column indicates the pre-mark and the ot</w:t>
      </w:r>
      <w:r>
        <w:t xml:space="preserve">her has the post-mark – see </w:t>
      </w:r>
      <w:r w:rsidR="002C5DE6">
        <w:t>right</w:t>
      </w:r>
      <w:r>
        <w:t xml:space="preserve"> (a</w:t>
      </w:r>
      <w:r w:rsidRPr="00DD55EB">
        <w:t xml:space="preserve"> third column </w:t>
      </w:r>
      <w:r>
        <w:t>provides the case identity numbers)</w:t>
      </w:r>
      <w:r w:rsidRPr="00DD55EB">
        <w:t>.</w:t>
      </w:r>
      <w:r w:rsidRPr="00AD1C89">
        <w:rPr>
          <w:noProof/>
        </w:rPr>
        <w:t xml:space="preserve"> </w:t>
      </w:r>
    </w:p>
    <w:p w:rsidR="009C4F45" w:rsidRDefault="009C4F45" w:rsidP="009C4F45">
      <w:r w:rsidRPr="00DD55EB">
        <w:t>For the paired samples t-test to be valid the differences between the paired values should be approximately normally distributed</w:t>
      </w:r>
      <w:r>
        <w:t>.</w:t>
      </w:r>
    </w:p>
    <w:p w:rsidR="009C4F45" w:rsidRDefault="009C4F45" w:rsidP="009C4F45">
      <w:r w:rsidRPr="00DD55EB">
        <w:t>To calculate the differences between pre- and post-marks, from the Data Editor in SPSS, choose</w:t>
      </w:r>
      <w:r>
        <w:t xml:space="preserve"> </w:t>
      </w:r>
      <w:r w:rsidRPr="007C2A8B">
        <w:rPr>
          <w:i/>
        </w:rPr>
        <w:t>Transform - Compute Variable</w:t>
      </w:r>
      <w:r w:rsidRPr="00DD55EB">
        <w:t xml:space="preserve"> and complete</w:t>
      </w:r>
      <w:r>
        <w:t xml:space="preserve"> the boxes as shown </w:t>
      </w:r>
      <w:r w:rsidR="002C5DE6">
        <w:t>below right</w:t>
      </w:r>
      <w:r>
        <w:t>.</w:t>
      </w:r>
    </w:p>
    <w:p w:rsidR="00A23FB3" w:rsidRDefault="00A23FB3" w:rsidP="00A23FB3">
      <w:pPr>
        <w:pStyle w:val="Heading20"/>
      </w:pPr>
      <w:r w:rsidRPr="00B765E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60F2ADD" wp14:editId="1EEC3FE5">
            <wp:simplePos x="0" y="0"/>
            <wp:positionH relativeFrom="column">
              <wp:posOffset>2906395</wp:posOffset>
            </wp:positionH>
            <wp:positionV relativeFrom="paragraph">
              <wp:posOffset>36830</wp:posOffset>
            </wp:positionV>
            <wp:extent cx="3366135" cy="2779395"/>
            <wp:effectExtent l="0" t="0" r="5715" b="190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Check the test assumptions</w:t>
      </w:r>
    </w:p>
    <w:p w:rsidR="009C4F45" w:rsidRDefault="009C4F45" w:rsidP="00A23FB3">
      <w:pPr>
        <w:rPr>
          <w:b/>
        </w:rPr>
      </w:pPr>
      <w:r>
        <w:t>The n</w:t>
      </w:r>
      <w:r w:rsidRPr="00DD55EB">
        <w:t>ormal</w:t>
      </w:r>
      <w:r>
        <w:t>ity</w:t>
      </w:r>
      <w:r w:rsidRPr="00DD55EB">
        <w:t xml:space="preserve"> </w:t>
      </w:r>
      <w:r>
        <w:t xml:space="preserve">of </w:t>
      </w:r>
      <w:r w:rsidRPr="0087253A">
        <w:rPr>
          <w:i/>
        </w:rPr>
        <w:t>Diff</w:t>
      </w:r>
      <w:r>
        <w:t xml:space="preserve"> </w:t>
      </w:r>
      <w:r w:rsidR="002C5DE6" w:rsidRPr="001545CB">
        <w:t>should first be</w:t>
      </w:r>
      <w:r w:rsidR="002C5DE6">
        <w:rPr>
          <w:b/>
        </w:rPr>
        <w:t xml:space="preserve"> </w:t>
      </w:r>
      <w:r w:rsidRPr="00DD55EB">
        <w:t xml:space="preserve">checked </w:t>
      </w:r>
      <w:r w:rsidR="002C5DE6">
        <w:rPr>
          <w:b/>
        </w:rPr>
        <w:t xml:space="preserve">– </w:t>
      </w:r>
      <w:r w:rsidR="002C5DE6" w:rsidRPr="001545CB">
        <w:t>see</w:t>
      </w:r>
      <w:r w:rsidR="002C5DE6">
        <w:rPr>
          <w:b/>
        </w:rPr>
        <w:t xml:space="preserve"> </w:t>
      </w:r>
      <w:r w:rsidR="002C5DE6" w:rsidRPr="001545CB">
        <w:rPr>
          <w:b/>
        </w:rPr>
        <w:t>Checking normality for parametric tests</w:t>
      </w:r>
      <w:r w:rsidR="002C5DE6">
        <w:rPr>
          <w:b/>
        </w:rPr>
        <w:t xml:space="preserve"> worksheet.</w:t>
      </w:r>
    </w:p>
    <w:p w:rsidR="00A23FB3" w:rsidRDefault="00A23FB3" w:rsidP="00A23FB3">
      <w:r>
        <w:t>T</w:t>
      </w:r>
      <w:r w:rsidR="009C4F45">
        <w:t>here is no evidence for us to suspect that the data is not normally distributed</w:t>
      </w:r>
      <w:r>
        <w:t>.</w:t>
      </w:r>
    </w:p>
    <w:p w:rsidR="009C4F45" w:rsidRDefault="00A23FB3" w:rsidP="00A23FB3">
      <w:pPr>
        <w:pStyle w:val="Heading20"/>
      </w:pPr>
      <w:r>
        <w:t>R</w:t>
      </w:r>
      <w:r w:rsidR="009C4F45">
        <w:t>un</w:t>
      </w:r>
      <w:r>
        <w:t>ning the paired samples t-test</w:t>
      </w:r>
    </w:p>
    <w:p w:rsidR="009C4F45" w:rsidRPr="00A23FB3" w:rsidRDefault="009C4F45" w:rsidP="00A23FB3">
      <w:pPr>
        <w:pStyle w:val="ListParagraph"/>
        <w:numPr>
          <w:ilvl w:val="0"/>
          <w:numId w:val="5"/>
        </w:numPr>
        <w:ind w:left="284" w:hanging="284"/>
        <w:contextualSpacing w:val="0"/>
        <w:rPr>
          <w:b/>
        </w:rPr>
      </w:pPr>
      <w:r>
        <w:t xml:space="preserve">Select </w:t>
      </w:r>
      <w:proofErr w:type="spellStart"/>
      <w:r w:rsidRPr="007C2A8B">
        <w:rPr>
          <w:i/>
        </w:rPr>
        <w:t>Analyze</w:t>
      </w:r>
      <w:proofErr w:type="spellEnd"/>
      <w:r w:rsidRPr="007C2A8B">
        <w:rPr>
          <w:i/>
        </w:rPr>
        <w:t xml:space="preserve"> – Compare Means – Paired Samples T-test</w:t>
      </w:r>
      <w:r>
        <w:t>:</w:t>
      </w:r>
    </w:p>
    <w:p w:rsidR="009C4F45" w:rsidRPr="00A23FB3" w:rsidRDefault="00A23FB3" w:rsidP="00A23FB3">
      <w:pPr>
        <w:pStyle w:val="ListParagraph"/>
        <w:numPr>
          <w:ilvl w:val="0"/>
          <w:numId w:val="5"/>
        </w:numPr>
        <w:ind w:left="284" w:hanging="284"/>
        <w:contextualSpacing w:val="0"/>
        <w:rPr>
          <w:b/>
        </w:rPr>
      </w:pPr>
      <w:r w:rsidRPr="00DA6B8B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AFDFC05" wp14:editId="6CBA10D3">
            <wp:simplePos x="0" y="0"/>
            <wp:positionH relativeFrom="column">
              <wp:posOffset>3152775</wp:posOffset>
            </wp:positionH>
            <wp:positionV relativeFrom="paragraph">
              <wp:posOffset>830580</wp:posOffset>
            </wp:positionV>
            <wp:extent cx="3093720" cy="16668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F45" w:rsidRPr="00DA6B8B">
        <w:t>Select the two paired variables as the Paired Variables, selecting the after variable first (</w:t>
      </w:r>
      <w:r w:rsidR="009C4F45" w:rsidRPr="00A23FB3">
        <w:rPr>
          <w:i/>
        </w:rPr>
        <w:t>Post</w:t>
      </w:r>
      <w:r w:rsidR="009C4F45" w:rsidRPr="00DA6B8B">
        <w:t>), followed by the before variable (</w:t>
      </w:r>
      <w:r w:rsidR="009C4F45" w:rsidRPr="00A23FB3">
        <w:rPr>
          <w:i/>
        </w:rPr>
        <w:t>Pre</w:t>
      </w:r>
      <w:r w:rsidR="009C4F45" w:rsidRPr="00DA6B8B">
        <w:t>) as shown</w:t>
      </w:r>
      <w:r w:rsidRPr="00A23FB3">
        <w:rPr>
          <w:b/>
        </w:rPr>
        <w:t xml:space="preserve"> below</w:t>
      </w:r>
      <w:r w:rsidR="009C4F45">
        <w:t xml:space="preserve"> </w:t>
      </w:r>
      <w:r w:rsidR="009C4F45" w:rsidRPr="00DA6B8B">
        <w:t xml:space="preserve">and </w:t>
      </w:r>
      <w:r w:rsidR="009C4F45">
        <w:t>c</w:t>
      </w:r>
      <w:r w:rsidR="009C4F45" w:rsidRPr="00DA6B8B">
        <w:t>lick OK</w:t>
      </w:r>
    </w:p>
    <w:p w:rsidR="00A23FB3" w:rsidRDefault="00A23FB3" w:rsidP="009C4F45">
      <w:pPr>
        <w:pStyle w:val="BodyText"/>
        <w:spacing w:after="120"/>
        <w:rPr>
          <w:rFonts w:ascii="Arial" w:hAnsi="Arial" w:cs="Arial"/>
          <w:sz w:val="24"/>
          <w:szCs w:val="24"/>
        </w:rPr>
      </w:pPr>
    </w:p>
    <w:p w:rsidR="00A23FB3" w:rsidRDefault="00A23FB3" w:rsidP="009C4F45">
      <w:pPr>
        <w:pStyle w:val="BodyText"/>
        <w:spacing w:after="120"/>
        <w:rPr>
          <w:rFonts w:ascii="Arial" w:hAnsi="Arial" w:cs="Arial"/>
          <w:sz w:val="24"/>
          <w:szCs w:val="24"/>
        </w:rPr>
      </w:pPr>
    </w:p>
    <w:p w:rsidR="00A23FB3" w:rsidRDefault="00A23FB3" w:rsidP="009C4F45">
      <w:pPr>
        <w:pStyle w:val="BodyText"/>
        <w:spacing w:after="120"/>
        <w:rPr>
          <w:rFonts w:ascii="Arial" w:hAnsi="Arial" w:cs="Arial"/>
          <w:sz w:val="24"/>
          <w:szCs w:val="24"/>
        </w:rPr>
      </w:pPr>
    </w:p>
    <w:p w:rsidR="00A23FB3" w:rsidRDefault="00A23FB3" w:rsidP="009C4F45">
      <w:pPr>
        <w:pStyle w:val="BodyText"/>
        <w:spacing w:after="120"/>
        <w:rPr>
          <w:rFonts w:ascii="Arial" w:hAnsi="Arial" w:cs="Arial"/>
          <w:sz w:val="24"/>
          <w:szCs w:val="24"/>
        </w:rPr>
      </w:pPr>
    </w:p>
    <w:p w:rsidR="00A23FB3" w:rsidRDefault="00A23FB3" w:rsidP="009C4F45">
      <w:pPr>
        <w:pStyle w:val="BodyText"/>
        <w:spacing w:after="120"/>
        <w:rPr>
          <w:rFonts w:ascii="Arial" w:hAnsi="Arial" w:cs="Arial"/>
          <w:sz w:val="24"/>
          <w:szCs w:val="24"/>
        </w:rPr>
      </w:pPr>
    </w:p>
    <w:p w:rsidR="003B7D03" w:rsidRDefault="003B7D03" w:rsidP="009C4F45">
      <w:pPr>
        <w:pStyle w:val="BodyText"/>
        <w:spacing w:after="120"/>
        <w:rPr>
          <w:rFonts w:ascii="Arial" w:hAnsi="Arial" w:cs="Arial"/>
          <w:sz w:val="24"/>
          <w:szCs w:val="24"/>
        </w:rPr>
      </w:pPr>
    </w:p>
    <w:p w:rsidR="009C4F45" w:rsidRPr="00DD55EB" w:rsidRDefault="009C4F45" w:rsidP="00A23FB3">
      <w:pPr>
        <w:pStyle w:val="Heading20"/>
      </w:pPr>
      <w:r>
        <w:lastRenderedPageBreak/>
        <w:t>Results</w:t>
      </w:r>
    </w:p>
    <w:p w:rsidR="00A23FB3" w:rsidRPr="00DD55EB" w:rsidRDefault="00A23FB3" w:rsidP="00A23FB3">
      <w:pPr>
        <w:rPr>
          <w:b/>
        </w:rPr>
      </w:pPr>
      <w:r w:rsidRPr="00FF2C63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2237B647" wp14:editId="4E58811B">
            <wp:simplePos x="0" y="0"/>
            <wp:positionH relativeFrom="column">
              <wp:posOffset>22860</wp:posOffset>
            </wp:positionH>
            <wp:positionV relativeFrom="paragraph">
              <wp:posOffset>273050</wp:posOffset>
            </wp:positionV>
            <wp:extent cx="6059170" cy="1021715"/>
            <wp:effectExtent l="19050" t="19050" r="17780" b="2603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10217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o</w:t>
      </w:r>
      <w:r w:rsidRPr="00DD55EB">
        <w:t xml:space="preserve">utput should look like </w:t>
      </w:r>
      <w:r>
        <w:t xml:space="preserve">the table </w:t>
      </w:r>
      <w:r w:rsidRPr="00DD55EB">
        <w:t>below:</w:t>
      </w:r>
    </w:p>
    <w:p w:rsidR="009C4F45" w:rsidRPr="00DD55EB" w:rsidRDefault="009C4F45" w:rsidP="00A23FB3">
      <w:pPr>
        <w:spacing w:before="240"/>
        <w:rPr>
          <w:b/>
        </w:rPr>
      </w:pPr>
      <w:r w:rsidRPr="00DD55EB">
        <w:t xml:space="preserve">Notice that this option </w:t>
      </w:r>
      <w:r>
        <w:t xml:space="preserve">also </w:t>
      </w:r>
      <w:r w:rsidRPr="00DD55EB">
        <w:t>gives you the sample summary data.</w:t>
      </w:r>
    </w:p>
    <w:p w:rsidR="009C4F45" w:rsidRPr="00DD55EB" w:rsidRDefault="009C4F45" w:rsidP="00A23FB3">
      <w:r>
        <w:t>T</w:t>
      </w:r>
      <w:r w:rsidRPr="00DD55EB">
        <w:t>he t statist</w:t>
      </w:r>
      <w:r>
        <w:t>ic (</w:t>
      </w:r>
      <w:r w:rsidRPr="00DD55EB">
        <w:t>t</w:t>
      </w:r>
      <w:r>
        <w:t>)</w:t>
      </w:r>
      <w:r w:rsidR="00A23FB3">
        <w:rPr>
          <w:b/>
        </w:rPr>
        <w:t xml:space="preserve"> </w:t>
      </w:r>
      <w:r w:rsidR="00A23FB3" w:rsidRPr="00A23FB3">
        <w:t>is</w:t>
      </w:r>
      <w:r w:rsidR="00A23FB3">
        <w:rPr>
          <w:b/>
        </w:rPr>
        <w:t xml:space="preserve"> </w:t>
      </w:r>
      <w:r w:rsidRPr="00DD55EB">
        <w:t>3.231, and p</w:t>
      </w:r>
      <w:r>
        <w:t xml:space="preserve">-value </w:t>
      </w:r>
      <w:r w:rsidR="00A23FB3" w:rsidRPr="00A23FB3">
        <w:t>(Sig. (2-tailed)) is</w:t>
      </w:r>
      <w:r>
        <w:t xml:space="preserve"> 0.004.</w:t>
      </w:r>
      <w:r w:rsidRPr="00DD55EB">
        <w:t xml:space="preserve"> </w:t>
      </w:r>
      <w:r>
        <w:t xml:space="preserve"> Therefore we may reject the </w:t>
      </w:r>
      <w:r w:rsidRPr="00DD55EB">
        <w:t xml:space="preserve">null hypothesis </w:t>
      </w:r>
      <w:r>
        <w:t>(</w:t>
      </w:r>
      <w:r w:rsidR="00E03E00">
        <w:t>that there was</w:t>
      </w:r>
      <w:r w:rsidRPr="00DD55EB">
        <w:t xml:space="preserve"> no difference</w:t>
      </w:r>
      <w:r>
        <w:t xml:space="preserve"> between the means of the two groups)</w:t>
      </w:r>
      <w:r w:rsidR="00E03E00">
        <w:t xml:space="preserve"> and conclude that there is strong evidence of a difference in the means.</w:t>
      </w:r>
    </w:p>
    <w:p w:rsidR="009C4F45" w:rsidRPr="00DD55EB" w:rsidRDefault="009C4F45" w:rsidP="00A23FB3">
      <w:pPr>
        <w:pStyle w:val="Heading20"/>
      </w:pPr>
      <w:r w:rsidRPr="00DD55EB">
        <w:t>Conclusion</w:t>
      </w:r>
    </w:p>
    <w:p w:rsidR="009C4F45" w:rsidRPr="00DD55EB" w:rsidRDefault="009C4F45" w:rsidP="00A23FB3">
      <w:pPr>
        <w:rPr>
          <w:b/>
        </w:rPr>
      </w:pPr>
      <w:r w:rsidRPr="00DD55EB">
        <w:t>There is strong evidence (t =</w:t>
      </w:r>
      <w:r>
        <w:t xml:space="preserve"> 3.23, p &lt; 0.01</w:t>
      </w:r>
      <w:r w:rsidRPr="00DD55EB">
        <w:t>) that the teaching intervention improves marks</w:t>
      </w:r>
      <w:r>
        <w:t>.  The estimated improvement is approximately 2 marks</w:t>
      </w:r>
      <w:r w:rsidRPr="00DD55EB">
        <w:t>.</w:t>
      </w:r>
      <w:r>
        <w:t xml:space="preserve"> Alternatively this can be described as an </w:t>
      </w:r>
      <w:r w:rsidRPr="00C5399D">
        <w:rPr>
          <w:b/>
        </w:rPr>
        <w:t>effect size</w:t>
      </w:r>
      <w:r>
        <w:t xml:space="preserve"> given by the absolute value of the difference in means (2.050) divided by the standard deviation (2.837) which is approximately 0.72 (this is classified as a </w:t>
      </w:r>
      <w:r w:rsidRPr="00164D08">
        <w:t>large</w:t>
      </w:r>
      <w:r>
        <w:t xml:space="preserve"> effect).</w:t>
      </w:r>
    </w:p>
    <w:p w:rsidR="009C4F45" w:rsidRPr="00DD55EB" w:rsidRDefault="009C4F45" w:rsidP="00A23FB3">
      <w:pPr>
        <w:rPr>
          <w:b/>
        </w:rPr>
      </w:pPr>
      <w:r w:rsidRPr="00DD55EB">
        <w:t>Of course, if we were to take other samples of marks, we might get a 'mean paired difference'</w:t>
      </w:r>
      <w:r w:rsidR="00E03E00">
        <w:t xml:space="preserve"> in marks different from 2.05. </w:t>
      </w:r>
      <w:r w:rsidRPr="00DD55EB">
        <w:t xml:space="preserve">The 'Lower' and 'Upper' limits of the </w:t>
      </w:r>
      <w:r w:rsidRPr="00C5399D">
        <w:rPr>
          <w:b/>
        </w:rPr>
        <w:t>95% confidence interval</w:t>
      </w:r>
      <w:r>
        <w:t xml:space="preserve"> </w:t>
      </w:r>
      <w:r w:rsidRPr="00DD55EB">
        <w:t xml:space="preserve">tell us that we can be 95% </w:t>
      </w:r>
      <w:r w:rsidR="00C21145">
        <w:t>confident</w:t>
      </w:r>
      <w:r>
        <w:t xml:space="preserve"> that the </w:t>
      </w:r>
      <w:r w:rsidR="00C21145">
        <w:t xml:space="preserve">population </w:t>
      </w:r>
      <w:r>
        <w:t>mean difference between</w:t>
      </w:r>
      <w:r w:rsidRPr="00DD55EB">
        <w:t xml:space="preserve"> </w:t>
      </w:r>
      <w:r>
        <w:t xml:space="preserve">the </w:t>
      </w:r>
      <w:r w:rsidRPr="00FA2ADC">
        <w:rPr>
          <w:i/>
        </w:rPr>
        <w:t>Pre</w:t>
      </w:r>
      <w:r>
        <w:t xml:space="preserve"> and </w:t>
      </w:r>
      <w:r w:rsidRPr="00FA2ADC">
        <w:rPr>
          <w:i/>
        </w:rPr>
        <w:t>Post</w:t>
      </w:r>
      <w:r>
        <w:t xml:space="preserve"> </w:t>
      </w:r>
      <w:r w:rsidRPr="00DD55EB">
        <w:t>marks is between 0.7</w:t>
      </w:r>
      <w:r w:rsidR="00C5399D">
        <w:t>2</w:t>
      </w:r>
      <w:r w:rsidRPr="00DD55EB">
        <w:t xml:space="preserve"> and 3.</w:t>
      </w:r>
      <w:r w:rsidR="00C5399D">
        <w:t>38</w:t>
      </w:r>
      <w:r>
        <w:t xml:space="preserve"> marks</w:t>
      </w:r>
      <w:r w:rsidRPr="00DD55EB">
        <w:t>.</w:t>
      </w:r>
    </w:p>
    <w:p w:rsidR="009C4F45" w:rsidRPr="00DD55EB" w:rsidRDefault="009C4F45" w:rsidP="00A23FB3">
      <w:pPr>
        <w:rPr>
          <w:b/>
        </w:rPr>
      </w:pPr>
      <w:r w:rsidRPr="00DD55EB">
        <w:t>You would need to consider if this difference in marks is practically important, not just statistically significant.</w:t>
      </w:r>
    </w:p>
    <w:p w:rsidR="009C4F45" w:rsidRPr="00A12FE6" w:rsidRDefault="00A23FB3" w:rsidP="00A23FB3">
      <w:pPr>
        <w:pStyle w:val="Heading1"/>
      </w:pPr>
      <w:r>
        <w:t>Notes</w:t>
      </w:r>
    </w:p>
    <w:p w:rsidR="009C4F45" w:rsidRDefault="009C4F45" w:rsidP="003B7D03">
      <w:pPr>
        <w:pStyle w:val="ListParagraph"/>
        <w:numPr>
          <w:ilvl w:val="0"/>
          <w:numId w:val="4"/>
        </w:numPr>
        <w:spacing w:line="240" w:lineRule="auto"/>
        <w:ind w:left="284" w:hanging="284"/>
        <w:contextualSpacing w:val="0"/>
      </w:pPr>
      <w:r>
        <w:t>If the difference between the before and after values is not normally distributed then</w:t>
      </w:r>
      <w:r w:rsidR="003B7D03">
        <w:t xml:space="preserve"> it should still be possible to run a paired t-test provided that the sample size is greater than 30 and the </w:t>
      </w:r>
      <w:r w:rsidR="00CD2033">
        <w:t>distribution is not very skewed</w:t>
      </w:r>
      <w:r w:rsidR="003B7D03">
        <w:t>: see</w:t>
      </w:r>
      <w:r w:rsidR="00EC0385">
        <w:t xml:space="preserve"> </w:t>
      </w:r>
      <w:r w:rsidR="00AF10DB">
        <w:t>(</w:t>
      </w:r>
      <w:proofErr w:type="spellStart"/>
      <w:r w:rsidR="00AF10DB">
        <w:t>Rhiel</w:t>
      </w:r>
      <w:proofErr w:type="spellEnd"/>
      <w:r w:rsidR="00AF10DB">
        <w:t xml:space="preserve"> and Chaffin, 1996) and</w:t>
      </w:r>
      <w:r w:rsidR="003B7D03">
        <w:t xml:space="preserve"> </w:t>
      </w:r>
      <w:r w:rsidR="00AF10DB">
        <w:t>(</w:t>
      </w:r>
      <w:proofErr w:type="spellStart"/>
      <w:r w:rsidR="003B7D03">
        <w:t>Zumbo</w:t>
      </w:r>
      <w:proofErr w:type="spellEnd"/>
      <w:r w:rsidR="003B7D03">
        <w:t xml:space="preserve"> and Jennings, 2002).</w:t>
      </w:r>
      <w:r w:rsidR="00CD2033">
        <w:t xml:space="preserve"> This can be assessed by inspecting a histogram or the data or the value of the skewn</w:t>
      </w:r>
      <w:r w:rsidR="00AF10DB">
        <w:t xml:space="preserve">ess statistic (both available in SPSS via </w:t>
      </w:r>
      <w:proofErr w:type="spellStart"/>
      <w:r w:rsidR="00AF10DB">
        <w:t>Analyze</w:t>
      </w:r>
      <w:proofErr w:type="spellEnd"/>
      <w:r w:rsidR="00AF10DB">
        <w:t xml:space="preserve"> &gt; Descriptive Statistics &gt;</w:t>
      </w:r>
      <w:r w:rsidR="00CD2033">
        <w:t xml:space="preserve"> Explore</w:t>
      </w:r>
      <w:r w:rsidR="007913FA">
        <w:t>)</w:t>
      </w:r>
      <w:r w:rsidR="00CD2033">
        <w:t>.</w:t>
      </w:r>
    </w:p>
    <w:p w:rsidR="009C4F45" w:rsidRDefault="009C4F45" w:rsidP="009C4F45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>
        <w:t xml:space="preserve">If the </w:t>
      </w:r>
      <w:r w:rsidR="00F935C6">
        <w:t>paired</w:t>
      </w:r>
      <w:r>
        <w:t xml:space="preserve"> t-test cannot be used the </w:t>
      </w:r>
      <w:r w:rsidRPr="00A12FE6">
        <w:rPr>
          <w:b/>
        </w:rPr>
        <w:t>Wilcoxon signed rank</w:t>
      </w:r>
      <w:r>
        <w:t xml:space="preserve"> test should be used instead.</w:t>
      </w:r>
    </w:p>
    <w:p w:rsidR="009C4F45" w:rsidRPr="00F14338" w:rsidRDefault="009C4F45" w:rsidP="00A23FB3">
      <w:pPr>
        <w:pStyle w:val="Heading1"/>
      </w:pPr>
      <w:r w:rsidRPr="00F14338">
        <w:t>Reference</w:t>
      </w:r>
    </w:p>
    <w:p w:rsidR="009C4F45" w:rsidRDefault="00EC0385" w:rsidP="009C4F45">
      <w:pPr>
        <w:ind w:left="567" w:hanging="567"/>
      </w:pPr>
      <w:proofErr w:type="spellStart"/>
      <w:r w:rsidRPr="00EC0385">
        <w:t>Rhiel</w:t>
      </w:r>
      <w:proofErr w:type="spellEnd"/>
      <w:r w:rsidRPr="00EC0385">
        <w:t xml:space="preserve">, G. S. and Chaffin, W. W. (1996) </w:t>
      </w:r>
      <w:proofErr w:type="gramStart"/>
      <w:r w:rsidRPr="00EC0385">
        <w:t>An</w:t>
      </w:r>
      <w:proofErr w:type="gramEnd"/>
      <w:r w:rsidRPr="00EC0385">
        <w:t xml:space="preserve"> investigation of the large-sample/small-sample approach to the one-sample test for a mean (sigma unknown). </w:t>
      </w:r>
      <w:r w:rsidRPr="00EC0385">
        <w:rPr>
          <w:i/>
        </w:rPr>
        <w:t>Journal of Statistics Education</w:t>
      </w:r>
      <w:r w:rsidRPr="00EC0385">
        <w:t>, 4(3).</w:t>
      </w:r>
      <w:r>
        <w:t xml:space="preserve"> Available at: </w:t>
      </w:r>
      <w:hyperlink r:id="rId11" w:history="1">
        <w:r w:rsidRPr="00FA7357">
          <w:rPr>
            <w:rStyle w:val="Hyperlink"/>
          </w:rPr>
          <w:t>http://www.amstat.org/publications/jse/v4n3/rhiel.html</w:t>
        </w:r>
      </w:hyperlink>
      <w:r>
        <w:t>.</w:t>
      </w:r>
    </w:p>
    <w:p w:rsidR="003B7D03" w:rsidRPr="00F14338" w:rsidRDefault="003B7D03" w:rsidP="003B7D03">
      <w:pPr>
        <w:ind w:left="567" w:hanging="567"/>
      </w:pPr>
      <w:proofErr w:type="spellStart"/>
      <w:r w:rsidRPr="00F14338">
        <w:t>Zumbo</w:t>
      </w:r>
      <w:proofErr w:type="spellEnd"/>
      <w:r w:rsidRPr="00F14338">
        <w:t>, B. D</w:t>
      </w:r>
      <w:r>
        <w:t xml:space="preserve">. and Jennings, M. J. (2002) </w:t>
      </w:r>
      <w:proofErr w:type="gramStart"/>
      <w:r>
        <w:t>The</w:t>
      </w:r>
      <w:proofErr w:type="gramEnd"/>
      <w:r>
        <w:t xml:space="preserve"> r</w:t>
      </w:r>
      <w:r w:rsidRPr="00F14338">
        <w:t>obustness of validity and effic</w:t>
      </w:r>
      <w:r>
        <w:t>iency of the related samples t-t</w:t>
      </w:r>
      <w:r w:rsidRPr="00F14338">
        <w:t xml:space="preserve">est in the presence of outliers, </w:t>
      </w:r>
      <w:proofErr w:type="spellStart"/>
      <w:r w:rsidRPr="00F14338">
        <w:rPr>
          <w:i/>
          <w:iCs/>
        </w:rPr>
        <w:t>Psicológica</w:t>
      </w:r>
      <w:proofErr w:type="spellEnd"/>
      <w:r w:rsidRPr="00F14338">
        <w:t xml:space="preserve">, 23(2), </w:t>
      </w:r>
      <w:r>
        <w:t xml:space="preserve">pp. </w:t>
      </w:r>
      <w:r w:rsidRPr="00F14338">
        <w:t>415-450</w:t>
      </w:r>
      <w:r>
        <w:t>.</w:t>
      </w:r>
    </w:p>
    <w:sectPr w:rsidR="003B7D03" w:rsidRPr="00F14338" w:rsidSect="00DB627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8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DB2" w:rsidRDefault="00061DB2" w:rsidP="00A76DB3">
      <w:r>
        <w:separator/>
      </w:r>
    </w:p>
    <w:p w:rsidR="00061DB2" w:rsidRDefault="00061DB2" w:rsidP="00A76DB3"/>
    <w:p w:rsidR="00061DB2" w:rsidRDefault="00061DB2" w:rsidP="00A76DB3"/>
  </w:endnote>
  <w:endnote w:type="continuationSeparator" w:id="0">
    <w:p w:rsidR="00061DB2" w:rsidRDefault="00061DB2" w:rsidP="00A76DB3">
      <w:r>
        <w:continuationSeparator/>
      </w:r>
    </w:p>
    <w:p w:rsidR="00061DB2" w:rsidRDefault="00061DB2" w:rsidP="00A76DB3"/>
    <w:p w:rsidR="00061DB2" w:rsidRDefault="00061DB2" w:rsidP="00A76D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39" w:rsidRPr="00C0592A" w:rsidRDefault="0083698C" w:rsidP="00A76DB3">
    <w:pPr>
      <w:pStyle w:val="Footer"/>
      <w:tabs>
        <w:tab w:val="clear" w:pos="4513"/>
        <w:tab w:val="clear" w:pos="9026"/>
        <w:tab w:val="center" w:pos="4678"/>
        <w:tab w:val="right" w:pos="9639"/>
      </w:tabs>
      <w:spacing w:line="240" w:lineRule="auto"/>
    </w:pPr>
    <w:r w:rsidRPr="00C0592A">
      <w:t xml:space="preserve">    </w:t>
    </w:r>
    <w:r w:rsidR="000734E8" w:rsidRPr="00C0592A">
      <w:rPr>
        <w:noProof/>
        <w:lang w:eastAsia="en-GB"/>
      </w:rPr>
      <w:drawing>
        <wp:inline distT="0" distB="0" distL="0" distR="0" wp14:anchorId="533720CF" wp14:editId="04F28257">
          <wp:extent cx="1045521" cy="372269"/>
          <wp:effectExtent l="0" t="0" r="2540" b="8890"/>
          <wp:docPr id="8" name="Picture 8" descr="by-nc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nc-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204" cy="376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0592A">
      <w:tab/>
    </w:r>
    <w:r w:rsidR="008C2139" w:rsidRPr="00C0592A">
      <w:t xml:space="preserve">© </w:t>
    </w:r>
    <w:r w:rsidR="009C4F45">
      <w:t xml:space="preserve">Mollie Gilchrist and </w:t>
    </w:r>
    <w:r w:rsidR="008C2139">
      <w:t>Peter Samuels</w:t>
    </w:r>
    <w:r w:rsidR="008C2139">
      <w:tab/>
      <w:t>Reviewer: Ellen Marshall</w:t>
    </w:r>
  </w:p>
  <w:p w:rsidR="0083698C" w:rsidRPr="00C0592A" w:rsidRDefault="008C2139" w:rsidP="00A76DB3">
    <w:pPr>
      <w:pStyle w:val="Footer"/>
      <w:tabs>
        <w:tab w:val="clear" w:pos="4513"/>
        <w:tab w:val="clear" w:pos="9026"/>
        <w:tab w:val="center" w:pos="4678"/>
        <w:tab w:val="right" w:pos="9639"/>
      </w:tabs>
      <w:spacing w:line="240" w:lineRule="auto"/>
    </w:pPr>
    <w:r>
      <w:t xml:space="preserve">  </w:t>
    </w:r>
    <w:r w:rsidRPr="00C0592A">
      <w:t>www.statstutor.ac.uk</w:t>
    </w:r>
    <w:r w:rsidRPr="00C0592A">
      <w:tab/>
    </w:r>
    <w:r>
      <w:t>Birmingham City University</w:t>
    </w:r>
    <w:r w:rsidRPr="00C0592A">
      <w:tab/>
    </w:r>
    <w:r>
      <w:t>University of Sheffield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8C" w:rsidRPr="00C0592A" w:rsidRDefault="0083698C" w:rsidP="00A76DB3">
    <w:pPr>
      <w:pStyle w:val="Footer"/>
      <w:tabs>
        <w:tab w:val="clear" w:pos="4513"/>
        <w:tab w:val="clear" w:pos="9026"/>
        <w:tab w:val="center" w:pos="4678"/>
        <w:tab w:val="right" w:pos="9639"/>
      </w:tabs>
      <w:spacing w:line="240" w:lineRule="auto"/>
    </w:pPr>
    <w:r w:rsidRPr="00C0592A">
      <w:t xml:space="preserve">    </w:t>
    </w:r>
    <w:r w:rsidRPr="00C0592A">
      <w:rPr>
        <w:noProof/>
        <w:lang w:eastAsia="en-GB"/>
      </w:rPr>
      <w:drawing>
        <wp:inline distT="0" distB="0" distL="0" distR="0" wp14:anchorId="20854FB8" wp14:editId="35501019">
          <wp:extent cx="1045521" cy="372269"/>
          <wp:effectExtent l="0" t="0" r="2540" b="8890"/>
          <wp:docPr id="10" name="Picture 10" descr="by-nc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nc-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204" cy="376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0592A">
      <w:tab/>
      <w:t xml:space="preserve">© </w:t>
    </w:r>
    <w:r w:rsidR="009C4F45">
      <w:t xml:space="preserve">Mollie Gilchrist and </w:t>
    </w:r>
    <w:r w:rsidR="008C2139">
      <w:t>Peter Samuels</w:t>
    </w:r>
    <w:r w:rsidR="008C2139">
      <w:tab/>
      <w:t>Reviewer: Ellen Marshall</w:t>
    </w:r>
  </w:p>
  <w:p w:rsidR="0083698C" w:rsidRPr="00C0592A" w:rsidRDefault="000734E8" w:rsidP="00A76DB3">
    <w:pPr>
      <w:pStyle w:val="Footer"/>
      <w:tabs>
        <w:tab w:val="clear" w:pos="4513"/>
        <w:tab w:val="clear" w:pos="9026"/>
        <w:tab w:val="center" w:pos="4678"/>
        <w:tab w:val="right" w:pos="9639"/>
      </w:tabs>
      <w:spacing w:line="240" w:lineRule="auto"/>
    </w:pPr>
    <w:r>
      <w:t xml:space="preserve">  </w:t>
    </w:r>
    <w:r w:rsidR="0083698C" w:rsidRPr="00C0592A">
      <w:t>www.statstutor.ac.uk</w:t>
    </w:r>
    <w:r w:rsidR="0083698C" w:rsidRPr="00C0592A">
      <w:tab/>
    </w:r>
    <w:r w:rsidR="008C2139">
      <w:t>Birmingham City University</w:t>
    </w:r>
    <w:r w:rsidR="0083698C" w:rsidRPr="00C0592A">
      <w:tab/>
    </w:r>
    <w:proofErr w:type="spellStart"/>
    <w:r w:rsidR="008C2139">
      <w:t>University</w:t>
    </w:r>
    <w:proofErr w:type="spellEnd"/>
    <w:r w:rsidR="008C2139">
      <w:t xml:space="preserve"> of Sheffield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DB2" w:rsidRDefault="00061DB2" w:rsidP="00A76DB3">
      <w:r>
        <w:separator/>
      </w:r>
    </w:p>
    <w:p w:rsidR="00061DB2" w:rsidRDefault="00061DB2" w:rsidP="00A76DB3"/>
    <w:p w:rsidR="00061DB2" w:rsidRDefault="00061DB2" w:rsidP="00A76DB3"/>
  </w:footnote>
  <w:footnote w:type="continuationSeparator" w:id="0">
    <w:p w:rsidR="00061DB2" w:rsidRDefault="00061DB2" w:rsidP="00A76DB3">
      <w:r>
        <w:continuationSeparator/>
      </w:r>
    </w:p>
    <w:p w:rsidR="00061DB2" w:rsidRDefault="00061DB2" w:rsidP="00A76DB3"/>
    <w:p w:rsidR="00061DB2" w:rsidRDefault="00061DB2" w:rsidP="00A76D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8C" w:rsidRPr="00C0592A" w:rsidRDefault="00DB6271" w:rsidP="00D118F6">
    <w:pPr>
      <w:pStyle w:val="Header"/>
      <w:tabs>
        <w:tab w:val="clear" w:pos="9026"/>
        <w:tab w:val="right" w:pos="9639"/>
      </w:tabs>
      <w:spacing w:line="240" w:lineRule="auto"/>
    </w:pPr>
    <w:r w:rsidRPr="00DB6271">
      <w:t>Paired Samples t-test</w:t>
    </w:r>
    <w:r w:rsidR="0083698C" w:rsidRPr="00C0592A">
      <w:tab/>
    </w:r>
    <w:r w:rsidR="0083698C" w:rsidRPr="00C0592A">
      <w:tab/>
    </w:r>
    <w:sdt>
      <w:sdtPr>
        <w:id w:val="836506043"/>
        <w:docPartObj>
          <w:docPartGallery w:val="Page Numbers (Top of Page)"/>
          <w:docPartUnique/>
        </w:docPartObj>
      </w:sdtPr>
      <w:sdtEndPr/>
      <w:sdtContent>
        <w:r w:rsidR="0083698C" w:rsidRPr="00C0592A">
          <w:t xml:space="preserve">Page </w:t>
        </w:r>
        <w:r w:rsidR="0083698C" w:rsidRPr="00C0592A">
          <w:rPr>
            <w:sz w:val="24"/>
          </w:rPr>
          <w:fldChar w:fldCharType="begin"/>
        </w:r>
        <w:r w:rsidR="0083698C" w:rsidRPr="00C0592A">
          <w:instrText xml:space="preserve"> PAGE </w:instrText>
        </w:r>
        <w:r w:rsidR="0083698C" w:rsidRPr="00C0592A">
          <w:rPr>
            <w:sz w:val="24"/>
          </w:rPr>
          <w:fldChar w:fldCharType="separate"/>
        </w:r>
        <w:r w:rsidR="005417A9">
          <w:rPr>
            <w:noProof/>
          </w:rPr>
          <w:t>3</w:t>
        </w:r>
        <w:r w:rsidR="0083698C" w:rsidRPr="00C0592A">
          <w:rPr>
            <w:sz w:val="24"/>
          </w:rPr>
          <w:fldChar w:fldCharType="end"/>
        </w:r>
        <w:r w:rsidR="0083698C" w:rsidRPr="00C0592A">
          <w:t xml:space="preserve"> of </w:t>
        </w:r>
        <w:r w:rsidR="00061DB2">
          <w:fldChar w:fldCharType="begin"/>
        </w:r>
        <w:r w:rsidR="00061DB2">
          <w:instrText xml:space="preserve"> NUMPAGES  </w:instrText>
        </w:r>
        <w:r w:rsidR="00061DB2">
          <w:fldChar w:fldCharType="separate"/>
        </w:r>
        <w:r w:rsidR="005417A9">
          <w:rPr>
            <w:noProof/>
          </w:rPr>
          <w:t>3</w:t>
        </w:r>
        <w:r w:rsidR="00061DB2">
          <w:rPr>
            <w:noProof/>
          </w:rPr>
          <w:fldChar w:fldCharType="end"/>
        </w:r>
      </w:sdtContent>
    </w:sdt>
  </w:p>
  <w:p w:rsidR="00662373" w:rsidRDefault="00662373" w:rsidP="00D118F6">
    <w:pPr>
      <w:spacing w:after="0" w:line="240" w:lineRule="auto"/>
    </w:pPr>
  </w:p>
  <w:p w:rsidR="00DB6271" w:rsidRDefault="00DB6271" w:rsidP="00D118F6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87" w:rsidRPr="00E70653" w:rsidRDefault="002C1C87" w:rsidP="00A76DB3">
    <w:pPr>
      <w:pStyle w:val="Header"/>
      <w:spacing w:line="240" w:lineRule="auto"/>
      <w:jc w:val="center"/>
      <w:rPr>
        <w:rStyle w:val="CP3Char"/>
      </w:rPr>
    </w:pPr>
    <w:r>
      <w:rPr>
        <w:noProof/>
        <w:lang w:eastAsia="en-GB"/>
      </w:rPr>
      <w:drawing>
        <wp:inline distT="0" distB="0" distL="0" distR="0" wp14:anchorId="667EEE9D" wp14:editId="2E94E0EA">
          <wp:extent cx="2638425" cy="1076325"/>
          <wp:effectExtent l="0" t="0" r="952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stutorcplogo_2c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1C87" w:rsidRPr="00C0592A" w:rsidRDefault="002C1C87" w:rsidP="00A76DB3">
    <w:pPr>
      <w:pStyle w:val="CP1"/>
    </w:pPr>
    <w:proofErr w:type="gramStart"/>
    <w:r w:rsidRPr="00C0592A">
      <w:t>community</w:t>
    </w:r>
    <w:proofErr w:type="gramEnd"/>
    <w:r w:rsidRPr="00C0592A">
      <w:t xml:space="preserve"> project</w:t>
    </w:r>
  </w:p>
  <w:p w:rsidR="002C1C87" w:rsidRPr="00C0592A" w:rsidRDefault="002C1C87" w:rsidP="00A76DB3">
    <w:pPr>
      <w:pStyle w:val="CP2"/>
    </w:pPr>
    <w:proofErr w:type="gramStart"/>
    <w:r w:rsidRPr="00C0592A">
      <w:t>encouraging</w:t>
    </w:r>
    <w:proofErr w:type="gramEnd"/>
    <w:r w:rsidRPr="00C0592A">
      <w:t xml:space="preserve"> academics to share statistics support resources</w:t>
    </w:r>
  </w:p>
  <w:p w:rsidR="002C1C87" w:rsidRPr="00C0592A" w:rsidRDefault="002C1C87" w:rsidP="00A76DB3">
    <w:pPr>
      <w:pStyle w:val="CP3"/>
    </w:pPr>
    <w:r w:rsidRPr="00C0592A">
      <w:t xml:space="preserve">All </w:t>
    </w:r>
    <w:proofErr w:type="spellStart"/>
    <w:r w:rsidRPr="00C0592A">
      <w:t>stcp</w:t>
    </w:r>
    <w:proofErr w:type="spellEnd"/>
    <w:r w:rsidRPr="00C0592A">
      <w:t xml:space="preserve"> resources are released under a Creative Commons licence</w:t>
    </w:r>
  </w:p>
  <w:p w:rsidR="002C1C87" w:rsidRPr="00C0592A" w:rsidRDefault="002C1C87" w:rsidP="00A76DB3">
    <w:pPr>
      <w:pStyle w:val="CP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76FC4"/>
    <w:multiLevelType w:val="hybridMultilevel"/>
    <w:tmpl w:val="04D26614"/>
    <w:lvl w:ilvl="0" w:tplc="97CE2E74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5B4244"/>
    <w:multiLevelType w:val="hybridMultilevel"/>
    <w:tmpl w:val="6352D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70E8C"/>
    <w:multiLevelType w:val="hybridMultilevel"/>
    <w:tmpl w:val="9272B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B7C5A"/>
    <w:multiLevelType w:val="hybridMultilevel"/>
    <w:tmpl w:val="29643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224FA"/>
    <w:multiLevelType w:val="hybridMultilevel"/>
    <w:tmpl w:val="13225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87"/>
    <w:rsid w:val="000410F9"/>
    <w:rsid w:val="00061DB2"/>
    <w:rsid w:val="000734E8"/>
    <w:rsid w:val="001545CB"/>
    <w:rsid w:val="001A5027"/>
    <w:rsid w:val="001F70E7"/>
    <w:rsid w:val="00263B13"/>
    <w:rsid w:val="00280C4F"/>
    <w:rsid w:val="002C1C87"/>
    <w:rsid w:val="002C5DE6"/>
    <w:rsid w:val="003B7D03"/>
    <w:rsid w:val="003E4ECE"/>
    <w:rsid w:val="00454755"/>
    <w:rsid w:val="004B0D36"/>
    <w:rsid w:val="005417A9"/>
    <w:rsid w:val="005B3642"/>
    <w:rsid w:val="00606B7F"/>
    <w:rsid w:val="00646674"/>
    <w:rsid w:val="00662373"/>
    <w:rsid w:val="007252BC"/>
    <w:rsid w:val="007336AA"/>
    <w:rsid w:val="0079077D"/>
    <w:rsid w:val="007913FA"/>
    <w:rsid w:val="007B1B70"/>
    <w:rsid w:val="007C2A8B"/>
    <w:rsid w:val="007E1A44"/>
    <w:rsid w:val="00814897"/>
    <w:rsid w:val="0083698C"/>
    <w:rsid w:val="00846B1B"/>
    <w:rsid w:val="008C2139"/>
    <w:rsid w:val="0096293A"/>
    <w:rsid w:val="00972EBA"/>
    <w:rsid w:val="009C4F45"/>
    <w:rsid w:val="00A04B12"/>
    <w:rsid w:val="00A058A5"/>
    <w:rsid w:val="00A23FB3"/>
    <w:rsid w:val="00A57D6A"/>
    <w:rsid w:val="00A76DB3"/>
    <w:rsid w:val="00A82EB4"/>
    <w:rsid w:val="00AC6F0B"/>
    <w:rsid w:val="00AC7AFF"/>
    <w:rsid w:val="00AF10DB"/>
    <w:rsid w:val="00BA65F1"/>
    <w:rsid w:val="00C0592A"/>
    <w:rsid w:val="00C21145"/>
    <w:rsid w:val="00C5399D"/>
    <w:rsid w:val="00C640F4"/>
    <w:rsid w:val="00C85BAA"/>
    <w:rsid w:val="00CD2033"/>
    <w:rsid w:val="00D118F6"/>
    <w:rsid w:val="00D51963"/>
    <w:rsid w:val="00D93A12"/>
    <w:rsid w:val="00D96971"/>
    <w:rsid w:val="00DB6271"/>
    <w:rsid w:val="00E03E00"/>
    <w:rsid w:val="00E70653"/>
    <w:rsid w:val="00EB6CB3"/>
    <w:rsid w:val="00EC0385"/>
    <w:rsid w:val="00EC2C13"/>
    <w:rsid w:val="00F935C6"/>
    <w:rsid w:val="00F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78E984-8BC9-4C5E-B61F-2A55BDA7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B3"/>
    <w:pPr>
      <w:spacing w:after="120" w:line="264" w:lineRule="auto"/>
    </w:pPr>
    <w:rPr>
      <w:rFonts w:ascii="Arial" w:hAnsi="Arial" w:cs="Arial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C8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1C87"/>
  </w:style>
  <w:style w:type="paragraph" w:styleId="Footer">
    <w:name w:val="footer"/>
    <w:basedOn w:val="Normal"/>
    <w:link w:val="FooterChar"/>
    <w:unhideWhenUsed/>
    <w:rsid w:val="002C1C8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1C87"/>
  </w:style>
  <w:style w:type="paragraph" w:styleId="BalloonText">
    <w:name w:val="Balloon Text"/>
    <w:basedOn w:val="Normal"/>
    <w:link w:val="BalloonTextChar"/>
    <w:uiPriority w:val="99"/>
    <w:semiHidden/>
    <w:unhideWhenUsed/>
    <w:rsid w:val="002C1C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87"/>
    <w:rPr>
      <w:rFonts w:ascii="Tahoma" w:hAnsi="Tahoma" w:cs="Tahoma"/>
      <w:sz w:val="16"/>
      <w:szCs w:val="16"/>
    </w:rPr>
  </w:style>
  <w:style w:type="paragraph" w:customStyle="1" w:styleId="CP1">
    <w:name w:val="CP1"/>
    <w:basedOn w:val="Normal"/>
    <w:link w:val="CP1Char"/>
    <w:qFormat/>
    <w:rsid w:val="00E70653"/>
    <w:pPr>
      <w:spacing w:after="0"/>
      <w:jc w:val="center"/>
    </w:pPr>
    <w:rPr>
      <w:rFonts w:ascii="Gill Sans MT" w:hAnsi="Gill Sans MT"/>
      <w:color w:val="000000" w:themeColor="text1"/>
      <w:sz w:val="60"/>
      <w:szCs w:val="60"/>
    </w:rPr>
  </w:style>
  <w:style w:type="paragraph" w:customStyle="1" w:styleId="CP2">
    <w:name w:val="CP2"/>
    <w:basedOn w:val="Normal"/>
    <w:link w:val="CP2Char"/>
    <w:qFormat/>
    <w:rsid w:val="00E70653"/>
    <w:pPr>
      <w:spacing w:after="0"/>
      <w:jc w:val="center"/>
    </w:pPr>
    <w:rPr>
      <w:rFonts w:ascii="Gill Sans MT" w:hAnsi="Gill Sans MT"/>
      <w:color w:val="000000" w:themeColor="text1"/>
      <w:sz w:val="28"/>
      <w:szCs w:val="28"/>
    </w:rPr>
  </w:style>
  <w:style w:type="character" w:customStyle="1" w:styleId="CP1Char">
    <w:name w:val="CP1 Char"/>
    <w:basedOn w:val="DefaultParagraphFont"/>
    <w:link w:val="CP1"/>
    <w:rsid w:val="00E70653"/>
    <w:rPr>
      <w:rFonts w:ascii="Gill Sans MT" w:hAnsi="Gill Sans MT"/>
      <w:color w:val="000000" w:themeColor="text1"/>
      <w:sz w:val="60"/>
      <w:szCs w:val="60"/>
    </w:rPr>
  </w:style>
  <w:style w:type="paragraph" w:customStyle="1" w:styleId="CP3">
    <w:name w:val="CP3"/>
    <w:basedOn w:val="Normal"/>
    <w:link w:val="CP3Char"/>
    <w:qFormat/>
    <w:rsid w:val="00E70653"/>
    <w:pPr>
      <w:spacing w:after="0"/>
      <w:jc w:val="center"/>
    </w:pPr>
    <w:rPr>
      <w:rFonts w:ascii="Gill Sans MT" w:hAnsi="Gill Sans MT"/>
      <w:color w:val="000000" w:themeColor="text1"/>
      <w:sz w:val="20"/>
      <w:szCs w:val="20"/>
    </w:rPr>
  </w:style>
  <w:style w:type="character" w:customStyle="1" w:styleId="CP2Char">
    <w:name w:val="CP2 Char"/>
    <w:basedOn w:val="DefaultParagraphFont"/>
    <w:link w:val="CP2"/>
    <w:rsid w:val="00E70653"/>
    <w:rPr>
      <w:rFonts w:ascii="Gill Sans MT" w:hAnsi="Gill Sans MT"/>
      <w:color w:val="000000" w:themeColor="text1"/>
      <w:sz w:val="28"/>
      <w:szCs w:val="28"/>
    </w:rPr>
  </w:style>
  <w:style w:type="paragraph" w:customStyle="1" w:styleId="Title2">
    <w:name w:val="Title2"/>
    <w:basedOn w:val="Normal"/>
    <w:link w:val="Title2Char"/>
    <w:qFormat/>
    <w:rsid w:val="00E70653"/>
    <w:rPr>
      <w:b/>
      <w:bCs/>
      <w:sz w:val="32"/>
      <w:szCs w:val="28"/>
    </w:rPr>
  </w:style>
  <w:style w:type="character" w:customStyle="1" w:styleId="CP3Char">
    <w:name w:val="CP3 Char"/>
    <w:basedOn w:val="DefaultParagraphFont"/>
    <w:link w:val="CP3"/>
    <w:rsid w:val="00E70653"/>
    <w:rPr>
      <w:rFonts w:ascii="Gill Sans MT" w:hAnsi="Gill Sans MT"/>
      <w:color w:val="000000" w:themeColor="text1"/>
      <w:sz w:val="20"/>
      <w:szCs w:val="20"/>
    </w:rPr>
  </w:style>
  <w:style w:type="paragraph" w:customStyle="1" w:styleId="Heading1">
    <w:name w:val="Heading1"/>
    <w:basedOn w:val="Normal"/>
    <w:link w:val="Heading1Char"/>
    <w:qFormat/>
    <w:rsid w:val="00E70653"/>
    <w:pPr>
      <w:spacing w:before="240"/>
    </w:pPr>
    <w:rPr>
      <w:b/>
      <w:bCs/>
      <w:sz w:val="28"/>
    </w:rPr>
  </w:style>
  <w:style w:type="character" w:customStyle="1" w:styleId="Title2Char">
    <w:name w:val="Title2 Char"/>
    <w:basedOn w:val="DefaultParagraphFont"/>
    <w:link w:val="Title2"/>
    <w:rsid w:val="00E70653"/>
    <w:rPr>
      <w:rFonts w:ascii="Arial" w:hAnsi="Arial" w:cs="Arial"/>
      <w:b/>
      <w:bCs/>
      <w:sz w:val="32"/>
      <w:szCs w:val="28"/>
    </w:rPr>
  </w:style>
  <w:style w:type="paragraph" w:customStyle="1" w:styleId="Heading20">
    <w:name w:val="Heading2"/>
    <w:basedOn w:val="Normal"/>
    <w:link w:val="Heading2Char0"/>
    <w:qFormat/>
    <w:rsid w:val="00E70653"/>
    <w:rPr>
      <w:b/>
      <w:bCs/>
      <w:sz w:val="24"/>
    </w:rPr>
  </w:style>
  <w:style w:type="character" w:customStyle="1" w:styleId="Heading1Char">
    <w:name w:val="Heading1 Char"/>
    <w:basedOn w:val="DefaultParagraphFont"/>
    <w:link w:val="Heading1"/>
    <w:rsid w:val="00E70653"/>
    <w:rPr>
      <w:rFonts w:ascii="Arial" w:hAnsi="Arial" w:cs="Arial"/>
      <w:b/>
      <w:bCs/>
      <w:sz w:val="28"/>
      <w:szCs w:val="24"/>
    </w:rPr>
  </w:style>
  <w:style w:type="paragraph" w:customStyle="1" w:styleId="Ref">
    <w:name w:val="Ref"/>
    <w:basedOn w:val="Normal"/>
    <w:link w:val="RefChar"/>
    <w:qFormat/>
    <w:rsid w:val="00E70653"/>
    <w:pPr>
      <w:jc w:val="right"/>
    </w:pPr>
    <w:rPr>
      <w:rFonts w:ascii="Gill Sans MT" w:hAnsi="Gill Sans MT"/>
      <w:bCs/>
      <w:noProof/>
      <w:szCs w:val="28"/>
      <w:lang w:eastAsia="en-GB"/>
    </w:rPr>
  </w:style>
  <w:style w:type="character" w:customStyle="1" w:styleId="Heading2Char0">
    <w:name w:val="Heading2 Char"/>
    <w:basedOn w:val="DefaultParagraphFont"/>
    <w:link w:val="Heading20"/>
    <w:rsid w:val="00E70653"/>
    <w:rPr>
      <w:rFonts w:ascii="Arial" w:hAnsi="Arial" w:cs="Arial"/>
      <w:b/>
      <w:bCs/>
      <w:sz w:val="24"/>
      <w:szCs w:val="24"/>
    </w:rPr>
  </w:style>
  <w:style w:type="paragraph" w:customStyle="1" w:styleId="Heading3">
    <w:name w:val="Heading3"/>
    <w:basedOn w:val="Heading20"/>
    <w:link w:val="Heading3Char"/>
    <w:qFormat/>
    <w:rsid w:val="00E70653"/>
    <w:rPr>
      <w:sz w:val="22"/>
    </w:rPr>
  </w:style>
  <w:style w:type="character" w:customStyle="1" w:styleId="RefChar">
    <w:name w:val="Ref Char"/>
    <w:basedOn w:val="DefaultParagraphFont"/>
    <w:link w:val="Ref"/>
    <w:rsid w:val="00E70653"/>
    <w:rPr>
      <w:rFonts w:ascii="Gill Sans MT" w:hAnsi="Gill Sans MT" w:cs="Arial"/>
      <w:bCs/>
      <w:noProof/>
      <w:szCs w:val="28"/>
      <w:lang w:eastAsia="en-GB"/>
    </w:rPr>
  </w:style>
  <w:style w:type="character" w:customStyle="1" w:styleId="Heading3Char">
    <w:name w:val="Heading3 Char"/>
    <w:basedOn w:val="Heading2Char0"/>
    <w:link w:val="Heading3"/>
    <w:rsid w:val="00E70653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C2C13"/>
    <w:pPr>
      <w:numPr>
        <w:numId w:val="1"/>
      </w:numPr>
      <w:ind w:left="709" w:hanging="283"/>
      <w:contextualSpacing/>
    </w:pPr>
  </w:style>
  <w:style w:type="paragraph" w:styleId="BodyText">
    <w:name w:val="Body Text"/>
    <w:basedOn w:val="Normal"/>
    <w:link w:val="BodyTextChar"/>
    <w:rsid w:val="009C4F4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C4F45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C4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C0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stat.org/publications/jse/v4n3/rhiel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Matthews;Peter Samuels</dc:creator>
  <cp:lastModifiedBy>Peter Samuels</cp:lastModifiedBy>
  <cp:revision>9</cp:revision>
  <cp:lastPrinted>2016-07-20T12:10:00Z</cp:lastPrinted>
  <dcterms:created xsi:type="dcterms:W3CDTF">2016-07-20T10:25:00Z</dcterms:created>
  <dcterms:modified xsi:type="dcterms:W3CDTF">2016-07-20T12:10:00Z</dcterms:modified>
</cp:coreProperties>
</file>